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F31D7">
      <w:pPr>
        <w:spacing w:line="360" w:lineRule="auto"/>
        <w:jc w:val="center"/>
        <w:rPr>
          <w:rFonts w:hint="default" w:ascii="Calibri" w:hAnsi="Calibri" w:eastAsia="黑体" w:cs="Calibri"/>
          <w:b w:val="0"/>
          <w:bCs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</w:pPr>
      <w:bookmarkStart w:id="0" w:name="_GoBack"/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  <w:bookmarkEnd w:id="0"/>
    </w:p>
    <w:p w14:paraId="7E7CF841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eastAsia" w:ascii="微软雅黑" w:hAnsi="微软雅黑" w:eastAsia="微软雅黑" w:cs="微软雅黑"/>
          <w:b w:val="0"/>
          <w:bCs/>
          <w:sz w:val="24"/>
        </w:rPr>
        <w:t>修正方案伦理审查申请文件清单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8124"/>
      </w:tblGrid>
      <w:tr w14:paraId="48E2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27D8A6E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6418CC74">
            <w:pPr>
              <w:spacing w:line="360" w:lineRule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</w:rPr>
              <w:t>修正方案伦理审查申请表</w:t>
            </w:r>
            <w:r>
              <w:rPr>
                <w:rFonts w:hAnsi="宋体"/>
                <w:sz w:val="24"/>
              </w:rPr>
              <w:t>(IEC-C-013-A01-</w:t>
            </w:r>
            <w:r>
              <w:rPr>
                <w:rFonts w:hint="eastAsia" w:hAnsi="宋体"/>
                <w:color w:val="auto"/>
                <w:sz w:val="24"/>
              </w:rPr>
              <w:t>V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24"/>
              </w:rPr>
              <w:t>.0</w:t>
            </w:r>
            <w:r>
              <w:rPr>
                <w:rFonts w:hAnsi="宋体"/>
                <w:color w:val="auto"/>
                <w:sz w:val="24"/>
              </w:rPr>
              <w:t>)</w:t>
            </w:r>
            <w:r>
              <w:rPr>
                <w:rFonts w:hint="eastAsia" w:hAnsi="宋体"/>
                <w:color w:val="auto"/>
                <w:sz w:val="24"/>
                <w:lang w:eastAsia="zh-CN"/>
              </w:rPr>
              <w:t>。</w:t>
            </w:r>
          </w:p>
        </w:tc>
      </w:tr>
      <w:tr w14:paraId="633B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2196560C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2486D5EF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hAnsi="宋体"/>
                <w:sz w:val="24"/>
              </w:rPr>
              <w:t>修正的临床研究方案（注明版本号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日期）：对修改部分以阴影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划线的方式标记；重要内容修正以及大量内容修正还需提交修改后的正式版本。</w:t>
            </w:r>
          </w:p>
        </w:tc>
      </w:tr>
      <w:tr w14:paraId="692E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0B0735C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2CE03B87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hAnsi="宋体"/>
                <w:sz w:val="24"/>
              </w:rPr>
              <w:t>修正的其他材料，如知情同意书（注明版本号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日期）：对修改部分以阴影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划线的方式标记；重要内容修正以及大量内容修正还需提交修改后的正式版本。</w:t>
            </w:r>
          </w:p>
        </w:tc>
      </w:tr>
      <w:tr w14:paraId="01F1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0" w:type="auto"/>
            <w:gridSpan w:val="2"/>
            <w:noWrap w:val="0"/>
            <w:vAlign w:val="top"/>
          </w:tcPr>
          <w:p w14:paraId="7A2477AA">
            <w:pPr>
              <w:spacing w:line="360" w:lineRule="auto"/>
              <w:ind w:firstLine="480" w:firstLineChars="200"/>
              <w:rPr>
                <w:rFonts w:hint="eastAsia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所有文件提交纸质版两份（盖章），同时提交电子版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kern w:val="0"/>
                <w:sz w:val="24"/>
              </w:rPr>
              <w:t>研究方案和/或知情同意书更新应包括：递交信(含递交文件清单、注明版本号和日期)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对研究方案或其他相关文件做修正的说明(注明修改处在修改前的页码、行数及修改后的内容)； 修正版研究方案及相关文件（含方案编号、版本号和日期）；</w:t>
            </w:r>
            <w:r>
              <w:rPr>
                <w:rFonts w:hint="eastAsia" w:ascii="宋体" w:hAnsi="宋体"/>
                <w:kern w:val="0"/>
                <w:sz w:val="24"/>
              </w:rPr>
              <w:t>中心伦理批件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。</w:t>
            </w:r>
          </w:p>
        </w:tc>
      </w:tr>
    </w:tbl>
    <w:p w14:paraId="2CD16D96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61027"/>
    <w:rsid w:val="09F61027"/>
    <w:rsid w:val="77A4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2026-05-14T08:22:00Z</dcterms:created>
  <dc:creator>JIESSIE</dc:creator>
  <cp:lastModifiedBy>JIESSIE</cp:lastModifiedBy>
  <dcterms:modified xsi:type="dcterms:W3CDTF">2026-05-14T08:37:01Z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4C4D64817DD04E86B1382D2CE4B500BC_11</vt:lpwstr>
  </property>
  <property fmtid="{D5CDD505-2E9C-101B-9397-08002B2CF9AE}" pid="4" name="KSOTemplateDocerSaveRecord">
    <vt:lpwstr>eyJoZGlkIjoiYjBmNWMxNGNhNDhjYWNmNjlhMzhiZDMxOGQ0YTIwNDAiLCJ1c2VySWQiOiI1MzkyMTg0In0=</vt:lpwstr>
  </property>
</Properties>
</file>